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13508"/>
      </w:tblGrid>
      <w:tr w:rsidR="000917A5" w:rsidRPr="009B19E3" w14:paraId="2F2D7F28" w14:textId="77777777" w:rsidTr="000917A5">
        <w:tc>
          <w:tcPr>
            <w:tcW w:w="13508" w:type="dxa"/>
          </w:tcPr>
          <w:p w14:paraId="69FCD318" w14:textId="77777777" w:rsidR="004E10E8" w:rsidRPr="000F4723" w:rsidRDefault="000F4723" w:rsidP="000F4723">
            <w:pPr>
              <w:jc w:val="center"/>
              <w:rPr>
                <w:rFonts w:cs="Simplified Arabic"/>
                <w:sz w:val="28"/>
                <w:szCs w:val="28"/>
                <w:lang w:bidi="ar-JO"/>
              </w:rPr>
            </w:pPr>
            <w:r w:rsidRPr="000F4723">
              <w:rPr>
                <w:rFonts w:cs="Simplified Arabic"/>
                <w:sz w:val="28"/>
                <w:szCs w:val="28"/>
                <w:rtl/>
                <w:lang w:bidi="ar-JO"/>
              </w:rPr>
              <w:t>تعليمات التعامل بحقوق الاكتتاب</w:t>
            </w:r>
          </w:p>
          <w:p w14:paraId="233B25FF" w14:textId="77777777" w:rsidR="000917A5" w:rsidRPr="00C9243A" w:rsidRDefault="000917A5" w:rsidP="00C9243A">
            <w:pPr>
              <w:jc w:val="center"/>
              <w:rPr>
                <w:rFonts w:cs="Simplified Arabic"/>
                <w:b/>
                <w:bCs/>
                <w:sz w:val="28"/>
                <w:szCs w:val="28"/>
                <w:rtl/>
              </w:rPr>
            </w:pPr>
            <w:r w:rsidRPr="00C9243A">
              <w:rPr>
                <w:rFonts w:cs="Simplified Arabic" w:hint="cs"/>
                <w:b/>
                <w:bCs/>
                <w:sz w:val="28"/>
                <w:szCs w:val="28"/>
                <w:rtl/>
              </w:rPr>
              <w:t>المادة الحالية</w:t>
            </w:r>
          </w:p>
        </w:tc>
      </w:tr>
      <w:tr w:rsidR="000917A5" w:rsidRPr="009B19E3" w14:paraId="58885CD9" w14:textId="77777777" w:rsidTr="000917A5">
        <w:tc>
          <w:tcPr>
            <w:tcW w:w="13508" w:type="dxa"/>
          </w:tcPr>
          <w:p w14:paraId="7F73DAFF" w14:textId="77777777" w:rsidR="000917A5" w:rsidRPr="009B19E3" w:rsidRDefault="000917A5">
            <w:pPr>
              <w:rPr>
                <w:rFonts w:cs="Simplified Arabic"/>
                <w:sz w:val="24"/>
                <w:szCs w:val="24"/>
                <w:rtl/>
              </w:rPr>
            </w:pPr>
            <w:r w:rsidRPr="009B19E3">
              <w:rPr>
                <w:rFonts w:cs="Simplified Arabic"/>
                <w:b/>
                <w:bCs/>
                <w:sz w:val="24"/>
                <w:szCs w:val="24"/>
                <w:rtl/>
              </w:rPr>
              <w:t>المادة (1)</w:t>
            </w:r>
            <w:r w:rsidRPr="009B19E3">
              <w:rPr>
                <w:rFonts w:cs="Simplified Arabic"/>
                <w:sz w:val="24"/>
                <w:szCs w:val="24"/>
                <w:rtl/>
              </w:rPr>
              <w:t xml:space="preserve"> تسمى هذه التعليمات تعليمات التعامل بحقوق الاكتتاب ويعمل بها من تاريخ 1/4/2006</w:t>
            </w:r>
          </w:p>
          <w:p w14:paraId="1AA5750E" w14:textId="77777777" w:rsidR="000917A5" w:rsidRPr="009B19E3" w:rsidRDefault="000917A5">
            <w:pPr>
              <w:rPr>
                <w:rFonts w:cs="Simplified Arabic"/>
                <w:sz w:val="24"/>
                <w:szCs w:val="24"/>
                <w:rtl/>
              </w:rPr>
            </w:pPr>
          </w:p>
        </w:tc>
      </w:tr>
      <w:tr w:rsidR="000917A5" w:rsidRPr="009B19E3" w14:paraId="08A924A3" w14:textId="77777777" w:rsidTr="000917A5">
        <w:tc>
          <w:tcPr>
            <w:tcW w:w="13508" w:type="dxa"/>
          </w:tcPr>
          <w:p w14:paraId="025EC49B" w14:textId="77777777" w:rsidR="000917A5" w:rsidRPr="009B19E3" w:rsidRDefault="000917A5">
            <w:pPr>
              <w:rPr>
                <w:rFonts w:cs="Simplified Arabic"/>
                <w:sz w:val="24"/>
                <w:szCs w:val="24"/>
                <w:rtl/>
              </w:rPr>
            </w:pPr>
            <w:r w:rsidRPr="009B19E3">
              <w:rPr>
                <w:rFonts w:cs="Simplified Arabic"/>
                <w:b/>
                <w:bCs/>
                <w:sz w:val="24"/>
                <w:szCs w:val="24"/>
                <w:rtl/>
              </w:rPr>
              <w:t>المادة(2)</w:t>
            </w:r>
            <w:r w:rsidRPr="009B19E3">
              <w:rPr>
                <w:rFonts w:cs="Simplified Arabic"/>
                <w:sz w:val="24"/>
                <w:szCs w:val="24"/>
                <w:rtl/>
              </w:rPr>
              <w:t xml:space="preserve"> يكون للألفاظ و</w:t>
            </w:r>
            <w:r>
              <w:rPr>
                <w:rFonts w:cs="Simplified Arabic"/>
                <w:sz w:val="24"/>
                <w:szCs w:val="24"/>
                <w:rtl/>
              </w:rPr>
              <w:t>العبارات الواردة في هذه التعليمات المعاني المخصصة لها في قانون</w:t>
            </w:r>
            <w:r>
              <w:rPr>
                <w:rFonts w:cs="Simplified Arabic" w:hint="cs"/>
                <w:sz w:val="24"/>
                <w:szCs w:val="24"/>
                <w:rtl/>
              </w:rPr>
              <w:t xml:space="preserve"> </w:t>
            </w:r>
            <w:r w:rsidRPr="009B19E3">
              <w:rPr>
                <w:rFonts w:cs="Simplified Arabic"/>
                <w:sz w:val="24"/>
                <w:szCs w:val="24"/>
                <w:rtl/>
              </w:rPr>
              <w:t>الأوراق المالية المعمول به، ما لم تدل القرينة على غير ذلك.</w:t>
            </w:r>
          </w:p>
        </w:tc>
      </w:tr>
      <w:tr w:rsidR="000917A5" w:rsidRPr="009B19E3" w14:paraId="00FC4789" w14:textId="77777777" w:rsidTr="000917A5">
        <w:tc>
          <w:tcPr>
            <w:tcW w:w="13508" w:type="dxa"/>
          </w:tcPr>
          <w:p w14:paraId="5BEF28C7" w14:textId="77777777" w:rsidR="000917A5" w:rsidRPr="009B19E3" w:rsidRDefault="000917A5">
            <w:pPr>
              <w:rPr>
                <w:rFonts w:cs="Simplified Arabic"/>
                <w:sz w:val="24"/>
                <w:szCs w:val="24"/>
                <w:rtl/>
              </w:rPr>
            </w:pPr>
            <w:r w:rsidRPr="009B19E3">
              <w:rPr>
                <w:rFonts w:cs="Simplified Arabic"/>
                <w:b/>
                <w:bCs/>
                <w:sz w:val="24"/>
                <w:szCs w:val="24"/>
                <w:rtl/>
              </w:rPr>
              <w:t>المادة(3)</w:t>
            </w:r>
            <w:r w:rsidRPr="009B19E3">
              <w:rPr>
                <w:rFonts w:cs="Simplified Arabic"/>
                <w:sz w:val="24"/>
                <w:szCs w:val="24"/>
                <w:rtl/>
              </w:rPr>
              <w:t xml:space="preserve"> تنظم أحكام هذه التعليمات التعامل بحقوق الاكتتاب باسهم الشركات المتداولة أسهمها</w:t>
            </w:r>
            <w:r w:rsidRPr="009B19E3">
              <w:rPr>
                <w:rFonts w:cs="Simplified Arabic" w:hint="cs"/>
                <w:sz w:val="24"/>
                <w:szCs w:val="24"/>
                <w:rtl/>
              </w:rPr>
              <w:t xml:space="preserve"> </w:t>
            </w:r>
            <w:r w:rsidRPr="009B19E3">
              <w:rPr>
                <w:rFonts w:cs="Simplified Arabic"/>
                <w:sz w:val="24"/>
                <w:szCs w:val="24"/>
                <w:rtl/>
              </w:rPr>
              <w:t>لدى السوق.</w:t>
            </w:r>
          </w:p>
        </w:tc>
      </w:tr>
      <w:tr w:rsidR="000917A5" w:rsidRPr="009B19E3" w14:paraId="6127D610" w14:textId="77777777" w:rsidTr="000917A5">
        <w:tc>
          <w:tcPr>
            <w:tcW w:w="13508" w:type="dxa"/>
          </w:tcPr>
          <w:p w14:paraId="6950F084" w14:textId="77777777" w:rsidR="000917A5" w:rsidRPr="009B19E3" w:rsidRDefault="000917A5">
            <w:pPr>
              <w:rPr>
                <w:rFonts w:cs="Simplified Arabic"/>
                <w:sz w:val="24"/>
                <w:szCs w:val="24"/>
                <w:rtl/>
              </w:rPr>
            </w:pPr>
            <w:r w:rsidRPr="009B19E3">
              <w:rPr>
                <w:rFonts w:cs="Simplified Arabic"/>
                <w:b/>
                <w:bCs/>
                <w:sz w:val="24"/>
                <w:szCs w:val="24"/>
                <w:rtl/>
              </w:rPr>
              <w:t>المادة(4)</w:t>
            </w:r>
            <w:r w:rsidRPr="009B19E3">
              <w:rPr>
                <w:rFonts w:cs="Simplified Arabic"/>
                <w:sz w:val="24"/>
                <w:szCs w:val="24"/>
                <w:rtl/>
              </w:rPr>
              <w:t xml:space="preserve"> يقصد بحق الاكتتاب لغايات هذه التعليمات حق مس</w:t>
            </w:r>
            <w:r>
              <w:rPr>
                <w:rFonts w:cs="Simplified Arabic"/>
                <w:sz w:val="24"/>
                <w:szCs w:val="24"/>
                <w:rtl/>
              </w:rPr>
              <w:t>اهمي الشركة المصدرة في الاكتتاب</w:t>
            </w:r>
            <w:r>
              <w:rPr>
                <w:rFonts w:cs="Simplified Arabic" w:hint="cs"/>
                <w:sz w:val="24"/>
                <w:szCs w:val="24"/>
                <w:rtl/>
              </w:rPr>
              <w:t xml:space="preserve"> </w:t>
            </w:r>
            <w:r w:rsidRPr="009B19E3">
              <w:rPr>
                <w:rFonts w:cs="Simplified Arabic"/>
                <w:sz w:val="24"/>
                <w:szCs w:val="24"/>
                <w:rtl/>
              </w:rPr>
              <w:t>بأسهم الزيادة في رأس المال المنوي إصدارها من قبل الشركة والمخصصة لمساهميها</w:t>
            </w:r>
          </w:p>
        </w:tc>
      </w:tr>
      <w:tr w:rsidR="000917A5" w:rsidRPr="009B19E3" w14:paraId="10D5843F" w14:textId="77777777" w:rsidTr="000917A5">
        <w:tc>
          <w:tcPr>
            <w:tcW w:w="13508" w:type="dxa"/>
          </w:tcPr>
          <w:p w14:paraId="504C0E82" w14:textId="77777777" w:rsidR="000917A5" w:rsidRPr="009B19E3" w:rsidRDefault="000917A5">
            <w:pPr>
              <w:rPr>
                <w:rFonts w:cs="Simplified Arabic"/>
                <w:sz w:val="24"/>
                <w:szCs w:val="24"/>
                <w:rtl/>
              </w:rPr>
            </w:pPr>
            <w:r w:rsidRPr="009B19E3">
              <w:rPr>
                <w:rFonts w:cs="Simplified Arabic"/>
                <w:b/>
                <w:bCs/>
                <w:sz w:val="24"/>
                <w:szCs w:val="24"/>
                <w:rtl/>
              </w:rPr>
              <w:t>المادة (5)</w:t>
            </w:r>
            <w:r w:rsidRPr="009B19E3">
              <w:rPr>
                <w:rFonts w:cs="Simplified Arabic"/>
                <w:sz w:val="24"/>
                <w:szCs w:val="24"/>
                <w:rtl/>
              </w:rPr>
              <w:t xml:space="preserve"> يعتبر حق الاكتتاب ورقة مالية قابلة للتداول في السوق خلال الفترة المحددة في هذه</w:t>
            </w:r>
            <w:r w:rsidRPr="009B19E3">
              <w:rPr>
                <w:rFonts w:cs="Simplified Arabic" w:hint="cs"/>
                <w:sz w:val="24"/>
                <w:szCs w:val="24"/>
                <w:rtl/>
              </w:rPr>
              <w:t xml:space="preserve"> </w:t>
            </w:r>
            <w:r w:rsidRPr="009B19E3">
              <w:rPr>
                <w:rFonts w:cs="Simplified Arabic"/>
                <w:sz w:val="24"/>
                <w:szCs w:val="24"/>
                <w:rtl/>
              </w:rPr>
              <w:t>التعليمات</w:t>
            </w:r>
          </w:p>
        </w:tc>
      </w:tr>
      <w:tr w:rsidR="000917A5" w:rsidRPr="009B19E3" w14:paraId="4A56604F" w14:textId="77777777" w:rsidTr="000917A5">
        <w:tc>
          <w:tcPr>
            <w:tcW w:w="13508" w:type="dxa"/>
          </w:tcPr>
          <w:p w14:paraId="6A3F1164" w14:textId="77777777" w:rsidR="000917A5" w:rsidRPr="00D524C5" w:rsidRDefault="000917A5">
            <w:pPr>
              <w:rPr>
                <w:rFonts w:cs="Simplified Arabic"/>
                <w:sz w:val="24"/>
                <w:szCs w:val="24"/>
                <w:rtl/>
              </w:rPr>
            </w:pPr>
          </w:p>
          <w:p w14:paraId="108B257D" w14:textId="77777777" w:rsidR="000917A5" w:rsidRPr="00D524C5" w:rsidRDefault="000917A5" w:rsidP="000917A5">
            <w:pPr>
              <w:rPr>
                <w:rFonts w:cs="Simplified Arabic"/>
                <w:sz w:val="24"/>
                <w:szCs w:val="24"/>
                <w:rtl/>
                <w:lang w:bidi="ar-JO"/>
              </w:rPr>
            </w:pPr>
            <w:r w:rsidRPr="00D524C5">
              <w:rPr>
                <w:rFonts w:cs="Simplified Arabic"/>
                <w:b/>
                <w:bCs/>
                <w:sz w:val="24"/>
                <w:szCs w:val="24"/>
                <w:rtl/>
              </w:rPr>
              <w:t>المادة (6)</w:t>
            </w:r>
            <w:r w:rsidRPr="00D524C5">
              <w:rPr>
                <w:rFonts w:cs="Simplified Arabic"/>
                <w:sz w:val="24"/>
                <w:szCs w:val="24"/>
                <w:rtl/>
              </w:rPr>
              <w:t xml:space="preserve"> </w:t>
            </w:r>
            <w:r w:rsidRPr="00D524C5">
              <w:rPr>
                <w:rFonts w:cs="Simplified Arabic"/>
                <w:sz w:val="24"/>
                <w:szCs w:val="24"/>
                <w:rtl/>
              </w:rPr>
              <w:br/>
              <w:t>أ- يكون حق الاكتتاب لمالكي أسهم الشركة كما في نهاية اليوم الخامس عشر من تاريخ موافقة المجلس على تسجيل أسهم الزيادة في رأس المال المخصصة لمساهمي الشركة.</w:t>
            </w:r>
          </w:p>
          <w:p w14:paraId="4529DF10" w14:textId="77777777" w:rsidR="000917A5" w:rsidRPr="00D524C5" w:rsidRDefault="000917A5" w:rsidP="000917A5">
            <w:pPr>
              <w:rPr>
                <w:rFonts w:cs="Simplified Arabic"/>
                <w:sz w:val="24"/>
                <w:szCs w:val="24"/>
                <w:rtl/>
              </w:rPr>
            </w:pPr>
            <w:r w:rsidRPr="00D524C5">
              <w:rPr>
                <w:rFonts w:cs="Simplified Arabic"/>
                <w:sz w:val="24"/>
                <w:szCs w:val="24"/>
                <w:rtl/>
              </w:rPr>
              <w:t>ب- تعتبر نشرة إصدار أسهم الزيادة في رأس ا لمال المخصصة لمساهمي الشركة بمثابة نشرة إصدار لحقوق الاكتتاب بعد تضمينها المعلومات الخاصة بهذه الحقوق</w:t>
            </w:r>
            <w:r>
              <w:rPr>
                <w:rFonts w:cs="Simplified Arabic" w:hint="cs"/>
                <w:sz w:val="24"/>
                <w:szCs w:val="24"/>
                <w:rtl/>
              </w:rPr>
              <w:t>.</w:t>
            </w:r>
          </w:p>
          <w:p w14:paraId="725F3A8E" w14:textId="77777777" w:rsidR="000917A5" w:rsidRPr="00D524C5" w:rsidRDefault="000917A5">
            <w:pPr>
              <w:rPr>
                <w:rFonts w:cs="Simplified Arabic"/>
                <w:sz w:val="24"/>
                <w:szCs w:val="24"/>
                <w:rtl/>
              </w:rPr>
            </w:pPr>
            <w:r w:rsidRPr="00D524C5">
              <w:rPr>
                <w:rFonts w:cs="Simplified Arabic"/>
                <w:sz w:val="24"/>
                <w:szCs w:val="24"/>
                <w:rtl/>
              </w:rPr>
              <w:t>ج- تضمين الإعلان المشار إليه في المادة ( 5/أ) من تعليمات ال</w:t>
            </w:r>
            <w:r>
              <w:rPr>
                <w:rFonts w:cs="Simplified Arabic"/>
                <w:sz w:val="24"/>
                <w:szCs w:val="24"/>
                <w:rtl/>
              </w:rPr>
              <w:t>إصدار تاريخي بدء وانتهاء فترة ا</w:t>
            </w:r>
            <w:r w:rsidRPr="00D524C5">
              <w:rPr>
                <w:rFonts w:cs="Simplified Arabic"/>
                <w:sz w:val="24"/>
                <w:szCs w:val="24"/>
                <w:rtl/>
              </w:rPr>
              <w:t>لتداول في حقوق الاكتتاب، وإصدار الإعلان المذكور قبل 7 أيام على الأقل من بدء هذه الفترة.</w:t>
            </w:r>
          </w:p>
        </w:tc>
      </w:tr>
      <w:tr w:rsidR="000917A5" w:rsidRPr="009B19E3" w14:paraId="5D94EAB4" w14:textId="77777777" w:rsidTr="000917A5">
        <w:tc>
          <w:tcPr>
            <w:tcW w:w="13508" w:type="dxa"/>
          </w:tcPr>
          <w:p w14:paraId="6EB980F3" w14:textId="77777777" w:rsidR="000917A5" w:rsidRPr="00D524C5" w:rsidRDefault="000917A5">
            <w:pPr>
              <w:rPr>
                <w:rFonts w:cs="Simplified Arabic"/>
                <w:sz w:val="24"/>
                <w:szCs w:val="24"/>
                <w:rtl/>
              </w:rPr>
            </w:pPr>
            <w:r w:rsidRPr="00D524C5">
              <w:rPr>
                <w:rFonts w:cs="Simplified Arabic"/>
                <w:b/>
                <w:bCs/>
                <w:sz w:val="24"/>
                <w:szCs w:val="24"/>
                <w:rtl/>
              </w:rPr>
              <w:t>المادة (7)</w:t>
            </w:r>
            <w:r w:rsidRPr="00D524C5">
              <w:rPr>
                <w:rFonts w:cs="Simplified Arabic"/>
                <w:sz w:val="24"/>
                <w:szCs w:val="24"/>
                <w:rtl/>
              </w:rPr>
              <w:br/>
              <w:t>أ - يكون عدد حقوق الاكتتاب مساويًا ل عدد أسهم زيادة رأس المال المقرر إصدارها لمساهمي الشركة من خلال الاكتتاب، والتي صدر قرار المجلس بالموافقة على تسجيلها لدى الهيئة.</w:t>
            </w:r>
            <w:r w:rsidRPr="00D524C5">
              <w:rPr>
                <w:rFonts w:cs="Simplified Arabic"/>
                <w:sz w:val="24"/>
                <w:szCs w:val="24"/>
                <w:rtl/>
              </w:rPr>
              <w:br/>
              <w:t>ب- يعتبر تسجيل أسهم زيادة رأس المال لدى الهيئة بم ثابة تسجيل لحقوق الاكتتاب الناشئة عنها.</w:t>
            </w:r>
          </w:p>
        </w:tc>
      </w:tr>
      <w:tr w:rsidR="000917A5" w:rsidRPr="009B19E3" w14:paraId="6F18AC64" w14:textId="77777777" w:rsidTr="000917A5">
        <w:tc>
          <w:tcPr>
            <w:tcW w:w="13508" w:type="dxa"/>
          </w:tcPr>
          <w:p w14:paraId="34FCE21E" w14:textId="77777777" w:rsidR="000917A5" w:rsidRPr="00D524C5" w:rsidRDefault="000917A5">
            <w:pPr>
              <w:rPr>
                <w:rFonts w:cs="Simplified Arabic"/>
                <w:b/>
                <w:bCs/>
                <w:sz w:val="24"/>
                <w:szCs w:val="24"/>
                <w:rtl/>
              </w:rPr>
            </w:pPr>
          </w:p>
          <w:p w14:paraId="647B73DC" w14:textId="77777777" w:rsidR="000917A5" w:rsidRPr="00D524C5" w:rsidRDefault="000917A5" w:rsidP="000F4723">
            <w:pPr>
              <w:rPr>
                <w:rFonts w:cs="Simplified Arabic"/>
                <w:b/>
                <w:bCs/>
                <w:sz w:val="24"/>
                <w:szCs w:val="24"/>
                <w:rtl/>
              </w:rPr>
            </w:pPr>
            <w:r w:rsidRPr="00D524C5">
              <w:rPr>
                <w:rFonts w:cs="Simplified Arabic"/>
                <w:b/>
                <w:bCs/>
                <w:sz w:val="24"/>
                <w:szCs w:val="24"/>
                <w:rtl/>
              </w:rPr>
              <w:lastRenderedPageBreak/>
              <w:t xml:space="preserve">المادة (8) </w:t>
            </w:r>
            <w:r w:rsidRPr="00D524C5">
              <w:rPr>
                <w:rFonts w:cs="Simplified Arabic"/>
                <w:sz w:val="24"/>
                <w:szCs w:val="24"/>
                <w:rtl/>
              </w:rPr>
              <w:br/>
              <w:t>أ- تعتبر حقوق الاكتتاب مسجلة حكمًا لدى المركز بأسماء مالكيها كما في نهاية</w:t>
            </w:r>
            <w:r w:rsidRPr="00D524C5">
              <w:rPr>
                <w:rFonts w:cs="Simplified Arabic"/>
                <w:sz w:val="24"/>
                <w:szCs w:val="24"/>
                <w:rtl/>
              </w:rPr>
              <w:br/>
              <w:t>اليوم الخامس عشر من تاريخ موافقة المجلس على تسجيل أسهم الزيادة في رأس مال الشركة.</w:t>
            </w:r>
            <w:r w:rsidRPr="00D524C5">
              <w:rPr>
                <w:rFonts w:cs="Simplified Arabic"/>
                <w:sz w:val="24"/>
                <w:szCs w:val="24"/>
                <w:rtl/>
              </w:rPr>
              <w:br/>
              <w:t xml:space="preserve">ب- تعتبر حقوق الاكتتاب مدرجة حكمًا للت داول لدى السوق اعتبارًا من يوم العمل التالي لليوم الخامس عشر المشار إليه في الفقرة </w:t>
            </w:r>
            <w:r w:rsidR="000F4723">
              <w:rPr>
                <w:rFonts w:cs="Simplified Arabic" w:hint="cs"/>
                <w:sz w:val="24"/>
                <w:szCs w:val="24"/>
                <w:rtl/>
              </w:rPr>
              <w:t>(أ)</w:t>
            </w:r>
            <w:r w:rsidRPr="00D524C5">
              <w:rPr>
                <w:rFonts w:cs="Simplified Arabic"/>
                <w:sz w:val="24"/>
                <w:szCs w:val="24"/>
                <w:rtl/>
              </w:rPr>
              <w:t xml:space="preserve"> من هذه المادة.</w:t>
            </w:r>
            <w:r w:rsidRPr="00D524C5">
              <w:rPr>
                <w:rFonts w:cs="Simplified Arabic"/>
                <w:sz w:val="24"/>
                <w:szCs w:val="24"/>
                <w:rtl/>
              </w:rPr>
              <w:br/>
              <w:t>ج- لا يتقاضى المركز أو السوق أي بدلات لقاء تسجيل وإدراج حقوق الاكتتاب لديهما</w:t>
            </w:r>
          </w:p>
        </w:tc>
      </w:tr>
      <w:tr w:rsidR="000917A5" w:rsidRPr="009B19E3" w14:paraId="5D79D455" w14:textId="77777777" w:rsidTr="000917A5">
        <w:tc>
          <w:tcPr>
            <w:tcW w:w="13508" w:type="dxa"/>
          </w:tcPr>
          <w:p w14:paraId="209A60A1" w14:textId="77777777" w:rsidR="000917A5" w:rsidRPr="00D524C5" w:rsidRDefault="000917A5">
            <w:pPr>
              <w:rPr>
                <w:rFonts w:cs="Simplified Arabic"/>
                <w:b/>
                <w:bCs/>
                <w:sz w:val="24"/>
                <w:szCs w:val="24"/>
                <w:rtl/>
              </w:rPr>
            </w:pPr>
            <w:r w:rsidRPr="00D524C5">
              <w:rPr>
                <w:rFonts w:cs="Simplified Arabic"/>
                <w:b/>
                <w:bCs/>
                <w:sz w:val="24"/>
                <w:szCs w:val="24"/>
                <w:rtl/>
              </w:rPr>
              <w:lastRenderedPageBreak/>
              <w:t xml:space="preserve">المادة (9) </w:t>
            </w:r>
            <w:r w:rsidRPr="00D524C5">
              <w:rPr>
                <w:rFonts w:cs="Simplified Arabic"/>
                <w:sz w:val="24"/>
                <w:szCs w:val="24"/>
                <w:rtl/>
              </w:rPr>
              <w:br/>
              <w:t>أ - تكون حقوق الاكتتاب غير قابلة للرهن لدى المركز، كما لا يجوز شراؤها عن طريق التمويل على الهامش.</w:t>
            </w:r>
            <w:r w:rsidRPr="00D524C5">
              <w:rPr>
                <w:rFonts w:cs="Simplified Arabic"/>
                <w:sz w:val="24"/>
                <w:szCs w:val="24"/>
                <w:rtl/>
              </w:rPr>
              <w:br/>
              <w:t>ب- تعتبر حقوق الاكتتاب الناشئة عن الأسهم الممولة على الهامش مقبولة كضمانات لحساب التمويل على الهامش</w:t>
            </w:r>
          </w:p>
        </w:tc>
      </w:tr>
      <w:tr w:rsidR="000917A5" w:rsidRPr="009B19E3" w14:paraId="37830F05" w14:textId="77777777" w:rsidTr="000917A5">
        <w:tc>
          <w:tcPr>
            <w:tcW w:w="13508" w:type="dxa"/>
          </w:tcPr>
          <w:p w14:paraId="25D3A489" w14:textId="77777777" w:rsidR="000917A5" w:rsidRPr="00D524C5" w:rsidRDefault="000917A5">
            <w:pPr>
              <w:rPr>
                <w:rFonts w:cs="Simplified Arabic"/>
                <w:b/>
                <w:bCs/>
                <w:sz w:val="24"/>
                <w:szCs w:val="24"/>
                <w:rtl/>
              </w:rPr>
            </w:pPr>
          </w:p>
          <w:p w14:paraId="435BE593" w14:textId="77777777" w:rsidR="000917A5" w:rsidRPr="00D524C5" w:rsidRDefault="000917A5">
            <w:pPr>
              <w:rPr>
                <w:rFonts w:cs="Simplified Arabic"/>
                <w:b/>
                <w:bCs/>
                <w:sz w:val="24"/>
                <w:szCs w:val="24"/>
                <w:rtl/>
              </w:rPr>
            </w:pPr>
            <w:r w:rsidRPr="00D524C5">
              <w:rPr>
                <w:rFonts w:cs="Simplified Arabic"/>
                <w:b/>
                <w:bCs/>
                <w:sz w:val="24"/>
                <w:szCs w:val="24"/>
                <w:rtl/>
              </w:rPr>
              <w:t>المادة (10)</w:t>
            </w:r>
            <w:r w:rsidRPr="00D524C5">
              <w:rPr>
                <w:rFonts w:cs="Simplified Arabic"/>
                <w:sz w:val="24"/>
                <w:szCs w:val="24"/>
                <w:rtl/>
              </w:rPr>
              <w:t xml:space="preserve"> تنسحب قرارات وقف أو تعليق تداول الأسهم على حقوق الاكتتاب الخاصة بها.</w:t>
            </w:r>
          </w:p>
        </w:tc>
      </w:tr>
      <w:tr w:rsidR="000917A5" w:rsidRPr="009B19E3" w14:paraId="4868F886" w14:textId="77777777" w:rsidTr="000917A5">
        <w:tc>
          <w:tcPr>
            <w:tcW w:w="13508" w:type="dxa"/>
          </w:tcPr>
          <w:p w14:paraId="39E40BC2" w14:textId="77777777" w:rsidR="000917A5" w:rsidRPr="00D524C5" w:rsidRDefault="000917A5">
            <w:pPr>
              <w:rPr>
                <w:rFonts w:cs="Simplified Arabic"/>
                <w:b/>
                <w:bCs/>
                <w:sz w:val="24"/>
                <w:szCs w:val="24"/>
                <w:rtl/>
              </w:rPr>
            </w:pPr>
          </w:p>
          <w:p w14:paraId="7CA3DC40" w14:textId="77777777" w:rsidR="000917A5" w:rsidRPr="00D524C5" w:rsidRDefault="000917A5">
            <w:pPr>
              <w:rPr>
                <w:rFonts w:cs="Simplified Arabic"/>
                <w:b/>
                <w:bCs/>
                <w:sz w:val="24"/>
                <w:szCs w:val="24"/>
                <w:rtl/>
              </w:rPr>
            </w:pPr>
            <w:r w:rsidRPr="00D524C5">
              <w:rPr>
                <w:rFonts w:cs="Simplified Arabic"/>
                <w:b/>
                <w:bCs/>
                <w:sz w:val="24"/>
                <w:szCs w:val="24"/>
                <w:rtl/>
              </w:rPr>
              <w:t>المادة (11)</w:t>
            </w:r>
            <w:r w:rsidRPr="00D524C5">
              <w:rPr>
                <w:rFonts w:cs="Simplified Arabic"/>
                <w:sz w:val="24"/>
                <w:szCs w:val="24"/>
                <w:rtl/>
              </w:rPr>
              <w:t xml:space="preserve"> يتم احتساب السعر الافتتاحي لحق الاكتتاب وفقًا للآلية المعلنة التي يحددها السوق لهذه الغاية بموافقة الهيئة.</w:t>
            </w:r>
          </w:p>
          <w:p w14:paraId="35458E18" w14:textId="77777777" w:rsidR="000917A5" w:rsidRPr="00D524C5" w:rsidRDefault="000917A5">
            <w:pPr>
              <w:rPr>
                <w:rFonts w:cs="Simplified Arabic"/>
                <w:b/>
                <w:bCs/>
                <w:sz w:val="24"/>
                <w:szCs w:val="24"/>
                <w:rtl/>
              </w:rPr>
            </w:pPr>
          </w:p>
        </w:tc>
      </w:tr>
      <w:tr w:rsidR="000917A5" w:rsidRPr="009B19E3" w14:paraId="4EFC1313" w14:textId="77777777" w:rsidTr="000917A5">
        <w:tc>
          <w:tcPr>
            <w:tcW w:w="13508" w:type="dxa"/>
          </w:tcPr>
          <w:p w14:paraId="7E13034B" w14:textId="77777777" w:rsidR="000917A5" w:rsidRPr="00D524C5" w:rsidRDefault="000917A5" w:rsidP="009B19E3">
            <w:pPr>
              <w:pStyle w:val="text"/>
              <w:bidi/>
              <w:rPr>
                <w:rFonts w:cs="Simplified Arabic"/>
                <w:color w:val="auto"/>
                <w:sz w:val="24"/>
                <w:szCs w:val="24"/>
                <w:rtl/>
              </w:rPr>
            </w:pPr>
            <w:r w:rsidRPr="00D524C5">
              <w:rPr>
                <w:rStyle w:val="Strong"/>
                <w:rFonts w:cs="Simplified Arabic"/>
                <w:color w:val="auto"/>
                <w:sz w:val="24"/>
                <w:szCs w:val="24"/>
                <w:rtl/>
              </w:rPr>
              <w:t>المادة ( 12)</w:t>
            </w:r>
          </w:p>
          <w:p w14:paraId="3A72538D" w14:textId="77777777" w:rsidR="000917A5" w:rsidRPr="00D524C5" w:rsidRDefault="000917A5" w:rsidP="009B19E3">
            <w:pPr>
              <w:pStyle w:val="text"/>
              <w:bidi/>
              <w:rPr>
                <w:rFonts w:cs="Simplified Arabic"/>
                <w:color w:val="auto"/>
                <w:sz w:val="24"/>
                <w:szCs w:val="24"/>
                <w:rtl/>
              </w:rPr>
            </w:pPr>
            <w:r w:rsidRPr="00D524C5">
              <w:rPr>
                <w:rFonts w:cs="Simplified Arabic"/>
                <w:color w:val="auto"/>
                <w:sz w:val="24"/>
                <w:szCs w:val="24"/>
                <w:rtl/>
              </w:rPr>
              <w:t xml:space="preserve"> أ- يبدأ التداول في حقوق الاكتتاب في يوم العمل التالي لنشوء هذا الحق وف</w:t>
            </w:r>
            <w:r>
              <w:rPr>
                <w:rFonts w:cs="Simplified Arabic"/>
                <w:color w:val="auto"/>
                <w:sz w:val="24"/>
                <w:szCs w:val="24"/>
                <w:rtl/>
              </w:rPr>
              <w:t>قًا لأحكام المادة ( ٦/أ) من هذه</w:t>
            </w:r>
            <w:r>
              <w:rPr>
                <w:rFonts w:cs="Simplified Arabic" w:hint="cs"/>
                <w:color w:val="auto"/>
                <w:sz w:val="24"/>
                <w:szCs w:val="24"/>
                <w:rtl/>
              </w:rPr>
              <w:t xml:space="preserve"> </w:t>
            </w:r>
            <w:r w:rsidRPr="00D524C5">
              <w:rPr>
                <w:rFonts w:cs="Simplified Arabic"/>
                <w:color w:val="auto"/>
                <w:sz w:val="24"/>
                <w:szCs w:val="24"/>
                <w:rtl/>
              </w:rPr>
              <w:t>التعليمات ولمدة ٥ أيام عمل، ويعتبر إدراج هذه الحقوق لاغيًا في نهاية هذه الفترة.</w:t>
            </w:r>
            <w:r w:rsidRPr="00D524C5">
              <w:rPr>
                <w:rFonts w:cs="Simplified Arabic"/>
                <w:color w:val="auto"/>
                <w:sz w:val="24"/>
                <w:szCs w:val="24"/>
                <w:rtl/>
              </w:rPr>
              <w:br/>
            </w:r>
            <w:r w:rsidRPr="00D524C5">
              <w:rPr>
                <w:rFonts w:cs="Simplified Arabic"/>
                <w:color w:val="auto"/>
                <w:sz w:val="24"/>
                <w:szCs w:val="24"/>
                <w:rtl/>
              </w:rPr>
              <w:lastRenderedPageBreak/>
              <w:t xml:space="preserve">ب- </w:t>
            </w:r>
            <w:r w:rsidRPr="00423894">
              <w:rPr>
                <w:rFonts w:asciiTheme="minorHAnsi" w:eastAsiaTheme="minorHAnsi" w:hAnsiTheme="minorHAnsi" w:cs="Simplified Arabic"/>
                <w:color w:val="auto"/>
                <w:sz w:val="24"/>
                <w:szCs w:val="24"/>
                <w:rtl/>
              </w:rPr>
              <w:t>يكون الحق في ممارسة الاكتتاب بأسهم الزياد ة في رأس مال الشركة المصدر ة لحملة حقوق الاكتتاب كما في نهاية فترة تداول هذه الحقوق.</w:t>
            </w:r>
            <w:r w:rsidRPr="00D524C5">
              <w:rPr>
                <w:rFonts w:cs="Simplified Arabic"/>
                <w:color w:val="auto"/>
                <w:sz w:val="24"/>
                <w:szCs w:val="24"/>
                <w:rtl/>
              </w:rPr>
              <w:br/>
              <w:t>ج- تبدأ فترة الاكتتاب في يوم العمل الرابع لإلغاء إدراج حقوق الاكتتاب.</w:t>
            </w:r>
          </w:p>
        </w:tc>
      </w:tr>
      <w:tr w:rsidR="000917A5" w:rsidRPr="009B19E3" w14:paraId="1B47BD5D" w14:textId="77777777" w:rsidTr="000917A5">
        <w:tc>
          <w:tcPr>
            <w:tcW w:w="13508" w:type="dxa"/>
          </w:tcPr>
          <w:p w14:paraId="3774AB5A" w14:textId="77777777" w:rsidR="000917A5" w:rsidRDefault="000917A5" w:rsidP="000917A5">
            <w:pPr>
              <w:pStyle w:val="text"/>
              <w:bidi/>
              <w:rPr>
                <w:rStyle w:val="Strong"/>
                <w:rFonts w:cs="Simplified Arabic"/>
                <w:color w:val="auto"/>
                <w:sz w:val="24"/>
                <w:szCs w:val="24"/>
                <w:rtl/>
              </w:rPr>
            </w:pPr>
            <w:r w:rsidRPr="00D524C5">
              <w:rPr>
                <w:rStyle w:val="Strong"/>
                <w:rFonts w:cs="Simplified Arabic"/>
                <w:color w:val="auto"/>
                <w:sz w:val="24"/>
                <w:szCs w:val="24"/>
                <w:rtl/>
              </w:rPr>
              <w:lastRenderedPageBreak/>
              <w:t>المادة ( 13)</w:t>
            </w:r>
          </w:p>
          <w:p w14:paraId="11DE614F" w14:textId="77777777" w:rsidR="000917A5" w:rsidRPr="000917A5" w:rsidRDefault="000917A5" w:rsidP="000917A5">
            <w:pPr>
              <w:pStyle w:val="text"/>
              <w:bidi/>
              <w:rPr>
                <w:rFonts w:cs="Simplified Arabic"/>
                <w:b/>
                <w:bCs/>
                <w:color w:val="auto"/>
                <w:sz w:val="24"/>
                <w:szCs w:val="24"/>
                <w:rtl/>
              </w:rPr>
            </w:pPr>
            <w:r w:rsidRPr="00D524C5">
              <w:rPr>
                <w:rFonts w:cs="Simplified Arabic"/>
                <w:color w:val="auto"/>
                <w:sz w:val="24"/>
                <w:szCs w:val="24"/>
                <w:rtl/>
              </w:rPr>
              <w:t xml:space="preserve"> أ- على الشركة المصدرة تزويد المركز بأسماء مالكي حقوق الاكتتاب وعددها التي تمت ممارستها والتي لم تتم ممارستها.</w:t>
            </w:r>
            <w:r w:rsidRPr="00D524C5">
              <w:rPr>
                <w:rFonts w:cs="Simplified Arabic"/>
                <w:color w:val="auto"/>
                <w:sz w:val="24"/>
                <w:szCs w:val="24"/>
                <w:rtl/>
              </w:rPr>
              <w:br/>
              <w:t>ب- يعمل المركز على تسجيل الأسهم غير المكتتب بها الخاصة بحقوق الاكتتاب التي لم تتم ممارسته ا في حساب باسم الشركة المصدرة، لأغراض التصرف بها وفق أحكام هذه التعليمات، ويتم شطب حقوق الاكتتاب من سجلات</w:t>
            </w:r>
            <w:r>
              <w:rPr>
                <w:rFonts w:cs="Simplified Arabic" w:hint="cs"/>
                <w:color w:val="auto"/>
                <w:sz w:val="24"/>
                <w:szCs w:val="24"/>
                <w:rtl/>
              </w:rPr>
              <w:t xml:space="preserve"> </w:t>
            </w:r>
            <w:r w:rsidRPr="00D524C5">
              <w:rPr>
                <w:rFonts w:cs="Simplified Arabic"/>
                <w:color w:val="auto"/>
                <w:sz w:val="24"/>
                <w:szCs w:val="24"/>
                <w:rtl/>
              </w:rPr>
              <w:t>المركز</w:t>
            </w:r>
            <w:r>
              <w:rPr>
                <w:rFonts w:cs="Simplified Arabic" w:hint="cs"/>
                <w:color w:val="auto"/>
                <w:sz w:val="24"/>
                <w:szCs w:val="24"/>
                <w:rtl/>
              </w:rPr>
              <w:t>.</w:t>
            </w:r>
          </w:p>
        </w:tc>
      </w:tr>
      <w:tr w:rsidR="000917A5" w:rsidRPr="009B19E3" w14:paraId="1FC4EA2C" w14:textId="77777777" w:rsidTr="000917A5">
        <w:tc>
          <w:tcPr>
            <w:tcW w:w="13508" w:type="dxa"/>
          </w:tcPr>
          <w:p w14:paraId="2A384BF6" w14:textId="77777777" w:rsidR="000917A5" w:rsidRPr="00D524C5" w:rsidRDefault="000917A5">
            <w:pPr>
              <w:rPr>
                <w:rFonts w:cs="Simplified Arabic"/>
                <w:sz w:val="24"/>
                <w:szCs w:val="24"/>
                <w:rtl/>
              </w:rPr>
            </w:pPr>
            <w:r w:rsidRPr="00D524C5">
              <w:rPr>
                <w:rStyle w:val="Strong"/>
                <w:rFonts w:cs="Simplified Arabic"/>
                <w:sz w:val="24"/>
                <w:szCs w:val="24"/>
                <w:rtl/>
              </w:rPr>
              <w:t>المادة ( 14)</w:t>
            </w:r>
          </w:p>
          <w:p w14:paraId="4CC6F887" w14:textId="77777777" w:rsidR="000917A5" w:rsidRPr="00D524C5" w:rsidRDefault="000917A5" w:rsidP="00C9243A">
            <w:pPr>
              <w:pStyle w:val="ListParagraph"/>
              <w:numPr>
                <w:ilvl w:val="0"/>
                <w:numId w:val="9"/>
              </w:numPr>
              <w:rPr>
                <w:rFonts w:cs="Simplified Arabic"/>
                <w:sz w:val="24"/>
                <w:szCs w:val="24"/>
                <w:rtl/>
              </w:rPr>
            </w:pPr>
            <w:r w:rsidRPr="00D524C5">
              <w:rPr>
                <w:rFonts w:cs="Simplified Arabic"/>
                <w:sz w:val="24"/>
                <w:szCs w:val="24"/>
                <w:rtl/>
              </w:rPr>
              <w:t>تقوم الشركة المصدر ة بعرض بيع الأسهم غير المكتتب بها من خلال السوق وذلك خلال شهر ين من إدراج أسهم الزيادة وفقا لما تقتضيه مصلحة المساهمين وبسعر لا يقل عن سعر الإصدار مضافًا إليه البدلات والعمولات الواردة في الفقرة (ب) والفقرة(ج) من هذه المادة.</w:t>
            </w:r>
          </w:p>
          <w:p w14:paraId="08393CEC" w14:textId="77777777" w:rsidR="000917A5" w:rsidRDefault="000917A5" w:rsidP="000917A5">
            <w:pPr>
              <w:pStyle w:val="ListParagraph"/>
              <w:numPr>
                <w:ilvl w:val="0"/>
                <w:numId w:val="9"/>
              </w:numPr>
              <w:rPr>
                <w:rFonts w:cs="Simplified Arabic"/>
                <w:sz w:val="24"/>
                <w:szCs w:val="24"/>
                <w:rtl/>
              </w:rPr>
            </w:pPr>
            <w:r w:rsidRPr="00D524C5">
              <w:rPr>
                <w:rFonts w:cs="Simplified Arabic"/>
                <w:sz w:val="24"/>
                <w:szCs w:val="24"/>
                <w:rtl/>
              </w:rPr>
              <w:t>تقيد الشركة حصيلة بيع الأسهم المشار إليها في الفقرة (أ) من هذه المادة مطروحًا منها قيمة هذه الأسهم بسعر الإصدار وكذلك العمولات والبدلات المترتبة على</w:t>
            </w:r>
            <w:r w:rsidRPr="00D524C5">
              <w:rPr>
                <w:rFonts w:cs="Simplified Arabic" w:hint="cs"/>
                <w:sz w:val="24"/>
                <w:szCs w:val="24"/>
                <w:rtl/>
              </w:rPr>
              <w:t xml:space="preserve"> </w:t>
            </w:r>
            <w:r w:rsidRPr="00D524C5">
              <w:rPr>
                <w:rFonts w:cs="Simplified Arabic"/>
                <w:sz w:val="24"/>
                <w:szCs w:val="24"/>
                <w:rtl/>
              </w:rPr>
              <w:t>عملية البيع كأمانات لصالح المساهمين الذين لم يمارسوا حق</w:t>
            </w:r>
            <w:r w:rsidRPr="00D524C5">
              <w:rPr>
                <w:rFonts w:cs="Simplified Arabic" w:hint="cs"/>
                <w:sz w:val="24"/>
                <w:szCs w:val="24"/>
                <w:rtl/>
              </w:rPr>
              <w:t xml:space="preserve"> </w:t>
            </w:r>
            <w:r w:rsidRPr="00D524C5">
              <w:rPr>
                <w:rFonts w:cs="Simplified Arabic"/>
                <w:sz w:val="24"/>
                <w:szCs w:val="24"/>
                <w:rtl/>
              </w:rPr>
              <w:t>الاكتتاب كل حسب مساهمته.</w:t>
            </w:r>
          </w:p>
          <w:p w14:paraId="16E2D01A" w14:textId="77777777" w:rsidR="000917A5" w:rsidRDefault="000917A5" w:rsidP="000917A5">
            <w:pPr>
              <w:pStyle w:val="ListParagraph"/>
              <w:ind w:left="435" w:hanging="435"/>
              <w:rPr>
                <w:rFonts w:cs="Simplified Arabic"/>
                <w:sz w:val="24"/>
                <w:szCs w:val="24"/>
                <w:rtl/>
              </w:rPr>
            </w:pPr>
            <w:r w:rsidRPr="000917A5">
              <w:rPr>
                <w:rFonts w:cs="Simplified Arabic"/>
                <w:sz w:val="24"/>
                <w:szCs w:val="24"/>
                <w:rtl/>
              </w:rPr>
              <w:t>ج- للشركة أن تتقاضى بدل إدارة بما لا يزيد على ١% من حصيلة بيع الأسهم المذكورة في الفقرة (أ) من هذه المادة.</w:t>
            </w:r>
          </w:p>
          <w:p w14:paraId="165628ED" w14:textId="77777777" w:rsidR="000917A5" w:rsidRPr="000917A5" w:rsidRDefault="000917A5" w:rsidP="000917A5">
            <w:pPr>
              <w:pStyle w:val="ListParagraph"/>
              <w:ind w:left="435" w:hanging="435"/>
              <w:rPr>
                <w:rFonts w:cs="Simplified Arabic"/>
                <w:sz w:val="24"/>
                <w:szCs w:val="24"/>
                <w:rtl/>
              </w:rPr>
            </w:pPr>
            <w:r w:rsidRPr="00D524C5">
              <w:rPr>
                <w:rFonts w:cs="Simplified Arabic"/>
                <w:sz w:val="24"/>
                <w:szCs w:val="24"/>
                <w:rtl/>
              </w:rPr>
              <w:t>د- إذا لم تتمكن الشركة من بيع كامل الأسهم غير المكتتب بها بسعر يزيد عن سعر الإصدار فيحق لمجلس إدارة الشركة، وبموافقة المجلس، تغطية الأسهم المتبقية وفقًا لما تقتضيه مصلحة الشركة.</w:t>
            </w:r>
          </w:p>
          <w:p w14:paraId="026CB769" w14:textId="77777777" w:rsidR="000917A5" w:rsidRPr="00D524C5" w:rsidRDefault="000917A5">
            <w:pPr>
              <w:rPr>
                <w:rFonts w:cs="Simplified Arabic"/>
                <w:b/>
                <w:bCs/>
                <w:sz w:val="24"/>
                <w:szCs w:val="24"/>
                <w:rtl/>
              </w:rPr>
            </w:pPr>
          </w:p>
        </w:tc>
      </w:tr>
    </w:tbl>
    <w:p w14:paraId="60586836" w14:textId="77777777" w:rsidR="00B61B04" w:rsidRDefault="00510E0D">
      <w:pPr>
        <w:rPr>
          <w:rFonts w:cs="Simplified Arabic"/>
          <w:sz w:val="24"/>
          <w:szCs w:val="24"/>
          <w:rtl/>
        </w:rPr>
      </w:pPr>
    </w:p>
    <w:sectPr w:rsidR="00B61B04" w:rsidSect="004E10E8">
      <w:footerReference w:type="default" r:id="rId8"/>
      <w:pgSz w:w="16838" w:h="11906" w:orient="landscape"/>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6C2B" w14:textId="77777777" w:rsidR="00510E0D" w:rsidRDefault="00510E0D" w:rsidP="00D524C5">
      <w:pPr>
        <w:spacing w:after="0" w:line="240" w:lineRule="auto"/>
      </w:pPr>
      <w:r>
        <w:separator/>
      </w:r>
    </w:p>
  </w:endnote>
  <w:endnote w:type="continuationSeparator" w:id="0">
    <w:p w14:paraId="775A41E9" w14:textId="77777777" w:rsidR="00510E0D" w:rsidRDefault="00510E0D" w:rsidP="00D5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47"/>
      <w:gridCol w:w="12511"/>
    </w:tblGrid>
    <w:tr w:rsidR="008712CF" w14:paraId="22DDA4FD" w14:textId="77777777" w:rsidTr="000917A5">
      <w:trPr>
        <w:trHeight w:val="225"/>
      </w:trPr>
      <w:tc>
        <w:tcPr>
          <w:tcW w:w="918" w:type="dxa"/>
        </w:tcPr>
        <w:p w14:paraId="0AEB826A" w14:textId="77777777" w:rsidR="008712CF" w:rsidRDefault="00B951D6">
          <w:pPr>
            <w:pStyle w:val="Footer"/>
            <w:jc w:val="right"/>
            <w:rPr>
              <w:b/>
              <w:color w:val="4F81BD" w:themeColor="accent1"/>
              <w:sz w:val="32"/>
              <w:szCs w:val="32"/>
            </w:rPr>
          </w:pPr>
          <w:r>
            <w:fldChar w:fldCharType="begin"/>
          </w:r>
          <w:r>
            <w:instrText xml:space="preserve"> PAGE   \* MERGEFORMAT </w:instrText>
          </w:r>
          <w:r>
            <w:fldChar w:fldCharType="separate"/>
          </w:r>
          <w:r w:rsidR="000F4723" w:rsidRPr="000F4723">
            <w:rPr>
              <w:b/>
              <w:noProof/>
              <w:color w:val="4F81BD" w:themeColor="accent1"/>
              <w:sz w:val="32"/>
              <w:szCs w:val="32"/>
              <w:rtl/>
            </w:rPr>
            <w:t>3</w:t>
          </w:r>
          <w:r>
            <w:rPr>
              <w:b/>
              <w:noProof/>
              <w:color w:val="4F81BD" w:themeColor="accent1"/>
              <w:sz w:val="32"/>
              <w:szCs w:val="32"/>
            </w:rPr>
            <w:fldChar w:fldCharType="end"/>
          </w:r>
        </w:p>
      </w:tc>
      <w:tc>
        <w:tcPr>
          <w:tcW w:w="7938" w:type="dxa"/>
        </w:tcPr>
        <w:p w14:paraId="07F6D1DC" w14:textId="77777777" w:rsidR="008712CF" w:rsidRDefault="008712CF">
          <w:pPr>
            <w:pStyle w:val="Footer"/>
            <w:rPr>
              <w:lang w:bidi="ar-JO"/>
            </w:rPr>
          </w:pPr>
        </w:p>
      </w:tc>
    </w:tr>
  </w:tbl>
  <w:p w14:paraId="2C0F3D00" w14:textId="77777777" w:rsidR="00D524C5" w:rsidRDefault="00D5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6E1B" w14:textId="77777777" w:rsidR="00510E0D" w:rsidRDefault="00510E0D" w:rsidP="00D524C5">
      <w:pPr>
        <w:spacing w:after="0" w:line="240" w:lineRule="auto"/>
      </w:pPr>
      <w:r>
        <w:separator/>
      </w:r>
    </w:p>
  </w:footnote>
  <w:footnote w:type="continuationSeparator" w:id="0">
    <w:p w14:paraId="6B57DA44" w14:textId="77777777" w:rsidR="00510E0D" w:rsidRDefault="00510E0D" w:rsidP="00D52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C87"/>
    <w:multiLevelType w:val="hybridMultilevel"/>
    <w:tmpl w:val="57441E3E"/>
    <w:lvl w:ilvl="0" w:tplc="9A5412C8">
      <w:start w:val="1"/>
      <w:numFmt w:val="arabicAbjad"/>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D7030E"/>
    <w:multiLevelType w:val="hybridMultilevel"/>
    <w:tmpl w:val="A6688022"/>
    <w:lvl w:ilvl="0" w:tplc="13BC8136">
      <w:start w:val="1"/>
      <w:numFmt w:val="arabicAbjad"/>
      <w:lvlText w:val="(%1)"/>
      <w:lvlJc w:val="left"/>
      <w:pPr>
        <w:ind w:left="720" w:hanging="360"/>
      </w:pPr>
      <w:rPr>
        <w:rFonts w:hint="default"/>
        <w:b/>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32E85"/>
    <w:multiLevelType w:val="hybridMultilevel"/>
    <w:tmpl w:val="BCA6DE94"/>
    <w:lvl w:ilvl="0" w:tplc="9A5412C8">
      <w:start w:val="1"/>
      <w:numFmt w:val="arabicAbjad"/>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2E07F5"/>
    <w:multiLevelType w:val="hybridMultilevel"/>
    <w:tmpl w:val="1F740574"/>
    <w:lvl w:ilvl="0" w:tplc="9A90FA68">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A834D5B"/>
    <w:multiLevelType w:val="hybridMultilevel"/>
    <w:tmpl w:val="D3AC0992"/>
    <w:lvl w:ilvl="0" w:tplc="9A5412C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15683"/>
    <w:multiLevelType w:val="hybridMultilevel"/>
    <w:tmpl w:val="20C45596"/>
    <w:lvl w:ilvl="0" w:tplc="2EEA164E">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6" w15:restartNumberingAfterBreak="0">
    <w:nsid w:val="2DC762B2"/>
    <w:multiLevelType w:val="hybridMultilevel"/>
    <w:tmpl w:val="EA16D6A0"/>
    <w:lvl w:ilvl="0" w:tplc="58204014">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15:restartNumberingAfterBreak="0">
    <w:nsid w:val="2ED137BD"/>
    <w:multiLevelType w:val="hybridMultilevel"/>
    <w:tmpl w:val="35A8FFA4"/>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8" w15:restartNumberingAfterBreak="0">
    <w:nsid w:val="326B6C82"/>
    <w:multiLevelType w:val="hybridMultilevel"/>
    <w:tmpl w:val="CB146526"/>
    <w:lvl w:ilvl="0" w:tplc="D5301310">
      <w:start w:val="1"/>
      <w:numFmt w:val="arabicAlpha"/>
      <w:lvlText w:val="(%1)"/>
      <w:lvlJc w:val="left"/>
      <w:pPr>
        <w:ind w:left="720" w:hanging="360"/>
      </w:pPr>
      <w:rPr>
        <w:rFonts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91A44"/>
    <w:multiLevelType w:val="hybridMultilevel"/>
    <w:tmpl w:val="D4C65C16"/>
    <w:lvl w:ilvl="0" w:tplc="58204014">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0" w15:restartNumberingAfterBreak="0">
    <w:nsid w:val="35E66B04"/>
    <w:multiLevelType w:val="hybridMultilevel"/>
    <w:tmpl w:val="77522788"/>
    <w:lvl w:ilvl="0" w:tplc="9A5412C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F4084"/>
    <w:multiLevelType w:val="hybridMultilevel"/>
    <w:tmpl w:val="D87E19C4"/>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2" w15:restartNumberingAfterBreak="0">
    <w:nsid w:val="456F7DFC"/>
    <w:multiLevelType w:val="hybridMultilevel"/>
    <w:tmpl w:val="1E70EE6E"/>
    <w:lvl w:ilvl="0" w:tplc="9A5412C8">
      <w:start w:val="1"/>
      <w:numFmt w:val="arabicAbjad"/>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BB52B17"/>
    <w:multiLevelType w:val="hybridMultilevel"/>
    <w:tmpl w:val="B1D47FEC"/>
    <w:lvl w:ilvl="0" w:tplc="9A5412C8">
      <w:start w:val="1"/>
      <w:numFmt w:val="arabicAbjad"/>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5A9B26AE"/>
    <w:multiLevelType w:val="hybridMultilevel"/>
    <w:tmpl w:val="0A34D6DE"/>
    <w:lvl w:ilvl="0" w:tplc="9A5412C8">
      <w:start w:val="1"/>
      <w:numFmt w:val="arabicAbjad"/>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2D7D7C"/>
    <w:multiLevelType w:val="hybridMultilevel"/>
    <w:tmpl w:val="E502218A"/>
    <w:lvl w:ilvl="0" w:tplc="58204014">
      <w:start w:val="1"/>
      <w:numFmt w:val="arabicAlpha"/>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6" w15:restartNumberingAfterBreak="0">
    <w:nsid w:val="7EF7209B"/>
    <w:multiLevelType w:val="hybridMultilevel"/>
    <w:tmpl w:val="3176E418"/>
    <w:lvl w:ilvl="0" w:tplc="9A5412C8">
      <w:start w:val="1"/>
      <w:numFmt w:val="arabicAbjad"/>
      <w:lvlText w:val="(%1)"/>
      <w:lvlJc w:val="left"/>
      <w:pPr>
        <w:ind w:left="713" w:hanging="360"/>
      </w:pPr>
      <w:rPr>
        <w:rFonts w:hint="default"/>
        <w:b/>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num w:numId="1">
    <w:abstractNumId w:val="0"/>
  </w:num>
  <w:num w:numId="2">
    <w:abstractNumId w:val="4"/>
  </w:num>
  <w:num w:numId="3">
    <w:abstractNumId w:val="2"/>
  </w:num>
  <w:num w:numId="4">
    <w:abstractNumId w:val="12"/>
  </w:num>
  <w:num w:numId="5">
    <w:abstractNumId w:val="13"/>
  </w:num>
  <w:num w:numId="6">
    <w:abstractNumId w:val="10"/>
  </w:num>
  <w:num w:numId="7">
    <w:abstractNumId w:val="14"/>
  </w:num>
  <w:num w:numId="8">
    <w:abstractNumId w:val="1"/>
  </w:num>
  <w:num w:numId="9">
    <w:abstractNumId w:val="3"/>
  </w:num>
  <w:num w:numId="10">
    <w:abstractNumId w:val="8"/>
  </w:num>
  <w:num w:numId="11">
    <w:abstractNumId w:val="9"/>
  </w:num>
  <w:num w:numId="12">
    <w:abstractNumId w:val="5"/>
  </w:num>
  <w:num w:numId="13">
    <w:abstractNumId w:val="7"/>
  </w:num>
  <w:num w:numId="14">
    <w:abstractNumId w:val="15"/>
  </w:num>
  <w:num w:numId="15">
    <w:abstractNumId w:val="16"/>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E8"/>
    <w:rsid w:val="00042B39"/>
    <w:rsid w:val="00085E66"/>
    <w:rsid w:val="000917A5"/>
    <w:rsid w:val="000920B1"/>
    <w:rsid w:val="000F4723"/>
    <w:rsid w:val="000F4DEE"/>
    <w:rsid w:val="00105D91"/>
    <w:rsid w:val="00114D96"/>
    <w:rsid w:val="00137CA1"/>
    <w:rsid w:val="00151B00"/>
    <w:rsid w:val="00157286"/>
    <w:rsid w:val="0017382E"/>
    <w:rsid w:val="001A4A28"/>
    <w:rsid w:val="001D70CB"/>
    <w:rsid w:val="00221B2D"/>
    <w:rsid w:val="002568D7"/>
    <w:rsid w:val="00277F3D"/>
    <w:rsid w:val="002D7884"/>
    <w:rsid w:val="002E08E4"/>
    <w:rsid w:val="00303CB4"/>
    <w:rsid w:val="003372AB"/>
    <w:rsid w:val="00377757"/>
    <w:rsid w:val="00390272"/>
    <w:rsid w:val="003A0677"/>
    <w:rsid w:val="003A6284"/>
    <w:rsid w:val="003D707E"/>
    <w:rsid w:val="00404726"/>
    <w:rsid w:val="00423894"/>
    <w:rsid w:val="00481A52"/>
    <w:rsid w:val="00484EC3"/>
    <w:rsid w:val="004A3B99"/>
    <w:rsid w:val="004E10E8"/>
    <w:rsid w:val="00510E0D"/>
    <w:rsid w:val="005129D0"/>
    <w:rsid w:val="005215D9"/>
    <w:rsid w:val="005316DB"/>
    <w:rsid w:val="0054564D"/>
    <w:rsid w:val="005635D4"/>
    <w:rsid w:val="00571024"/>
    <w:rsid w:val="005860A2"/>
    <w:rsid w:val="00586E31"/>
    <w:rsid w:val="0060761E"/>
    <w:rsid w:val="0064294E"/>
    <w:rsid w:val="00653E50"/>
    <w:rsid w:val="006602D1"/>
    <w:rsid w:val="006A55FB"/>
    <w:rsid w:val="0070078C"/>
    <w:rsid w:val="00714117"/>
    <w:rsid w:val="00807481"/>
    <w:rsid w:val="008442D6"/>
    <w:rsid w:val="0084658A"/>
    <w:rsid w:val="00866E4B"/>
    <w:rsid w:val="008712CF"/>
    <w:rsid w:val="009B19E3"/>
    <w:rsid w:val="00A35689"/>
    <w:rsid w:val="00A57B81"/>
    <w:rsid w:val="00A6097B"/>
    <w:rsid w:val="00A9498D"/>
    <w:rsid w:val="00B75192"/>
    <w:rsid w:val="00B951D6"/>
    <w:rsid w:val="00BC567A"/>
    <w:rsid w:val="00BE513D"/>
    <w:rsid w:val="00C164FF"/>
    <w:rsid w:val="00C260DB"/>
    <w:rsid w:val="00C52C0C"/>
    <w:rsid w:val="00C9243A"/>
    <w:rsid w:val="00CC4DF7"/>
    <w:rsid w:val="00CD54B6"/>
    <w:rsid w:val="00CE1DD2"/>
    <w:rsid w:val="00D03430"/>
    <w:rsid w:val="00D524C5"/>
    <w:rsid w:val="00D5751C"/>
    <w:rsid w:val="00E11A52"/>
    <w:rsid w:val="00E636C2"/>
    <w:rsid w:val="00E721E3"/>
    <w:rsid w:val="00EE0A0C"/>
    <w:rsid w:val="00F13CBF"/>
    <w:rsid w:val="00F25FB8"/>
    <w:rsid w:val="00F53084"/>
    <w:rsid w:val="00FF3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DBB7"/>
  <w15:docId w15:val="{8F4B7787-4DCB-4BED-A100-DBBFF7A8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basedOn w:val="Normal"/>
    <w:rsid w:val="004E10E8"/>
    <w:pPr>
      <w:bidi w:val="0"/>
      <w:spacing w:before="100" w:beforeAutospacing="1" w:after="100" w:afterAutospacing="1" w:line="360" w:lineRule="auto"/>
    </w:pPr>
    <w:rPr>
      <w:rFonts w:ascii="Tahoma" w:eastAsia="Times New Roman" w:hAnsi="Tahoma" w:cs="Tahoma"/>
      <w:color w:val="043261"/>
      <w:sz w:val="18"/>
      <w:szCs w:val="18"/>
    </w:rPr>
  </w:style>
  <w:style w:type="character" w:styleId="Strong">
    <w:name w:val="Strong"/>
    <w:basedOn w:val="DefaultParagraphFont"/>
    <w:uiPriority w:val="22"/>
    <w:qFormat/>
    <w:rsid w:val="004E10E8"/>
    <w:rPr>
      <w:b/>
      <w:bCs/>
    </w:rPr>
  </w:style>
  <w:style w:type="paragraph" w:styleId="ListParagraph">
    <w:name w:val="List Paragraph"/>
    <w:basedOn w:val="Normal"/>
    <w:uiPriority w:val="34"/>
    <w:qFormat/>
    <w:rsid w:val="00151B00"/>
    <w:pPr>
      <w:ind w:left="720"/>
      <w:contextualSpacing/>
    </w:pPr>
  </w:style>
  <w:style w:type="paragraph" w:styleId="Header">
    <w:name w:val="header"/>
    <w:basedOn w:val="Normal"/>
    <w:link w:val="HeaderChar"/>
    <w:uiPriority w:val="99"/>
    <w:unhideWhenUsed/>
    <w:rsid w:val="00D52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24C5"/>
  </w:style>
  <w:style w:type="paragraph" w:styleId="Footer">
    <w:name w:val="footer"/>
    <w:basedOn w:val="Normal"/>
    <w:link w:val="FooterChar"/>
    <w:uiPriority w:val="99"/>
    <w:unhideWhenUsed/>
    <w:rsid w:val="00D52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24C5"/>
  </w:style>
  <w:style w:type="paragraph" w:styleId="BalloonText">
    <w:name w:val="Balloon Text"/>
    <w:basedOn w:val="Normal"/>
    <w:link w:val="BalloonTextChar"/>
    <w:uiPriority w:val="99"/>
    <w:semiHidden/>
    <w:unhideWhenUsed/>
    <w:rsid w:val="00871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B5DE-EB76-4665-BBE6-CF1E0709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jordan</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sal_raq</dc:creator>
  <cp:keywords/>
  <dc:description/>
  <cp:lastModifiedBy>Hussain Hammadneh</cp:lastModifiedBy>
  <cp:revision>2</cp:revision>
  <cp:lastPrinted>2013-12-02T06:03:00Z</cp:lastPrinted>
  <dcterms:created xsi:type="dcterms:W3CDTF">2023-04-26T09:01:00Z</dcterms:created>
  <dcterms:modified xsi:type="dcterms:W3CDTF">2023-04-26T09:01:00Z</dcterms:modified>
</cp:coreProperties>
</file>